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AA24B" w14:textId="77777777" w:rsidR="003C50E2" w:rsidRDefault="003C50E2" w:rsidP="004C11E6">
      <w:pPr>
        <w:jc w:val="both"/>
      </w:pPr>
      <w:bookmarkStart w:id="0" w:name="_GoBack"/>
      <w:bookmarkEnd w:id="0"/>
      <w:r w:rsidRPr="00FB42E9">
        <w:rPr>
          <w:rFonts w:ascii="Calibri" w:hAnsi="Calibri" w:cs="Tahoma"/>
          <w:iCs/>
          <w:noProof/>
          <w:sz w:val="16"/>
          <w:szCs w:val="16"/>
          <w:lang w:val="fr-FR" w:eastAsia="fr-FR"/>
        </w:rPr>
        <w:drawing>
          <wp:inline distT="0" distB="0" distL="0" distR="0" wp14:anchorId="485DBEAC" wp14:editId="4F68B948">
            <wp:extent cx="5760720" cy="11334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1133475"/>
                    </a:xfrm>
                    <a:prstGeom prst="rect">
                      <a:avLst/>
                    </a:prstGeom>
                    <a:noFill/>
                    <a:ln>
                      <a:noFill/>
                    </a:ln>
                  </pic:spPr>
                </pic:pic>
              </a:graphicData>
            </a:graphic>
          </wp:inline>
        </w:drawing>
      </w:r>
    </w:p>
    <w:p w14:paraId="62A0E180" w14:textId="77777777" w:rsidR="003C50E2" w:rsidRDefault="003C50E2" w:rsidP="00AF7047">
      <w:pPr>
        <w:jc w:val="right"/>
        <w:outlineLvl w:val="0"/>
      </w:pPr>
      <w:r>
        <w:t xml:space="preserve">Luxembourg, </w:t>
      </w:r>
      <w:r w:rsidR="00AD673E">
        <w:t>the</w:t>
      </w:r>
      <w:r>
        <w:t xml:space="preserve"> 13 </w:t>
      </w:r>
      <w:r w:rsidR="00F70C42">
        <w:t>September</w:t>
      </w:r>
      <w:r>
        <w:t xml:space="preserve"> 2018</w:t>
      </w:r>
    </w:p>
    <w:p w14:paraId="50F7C590" w14:textId="77777777" w:rsidR="003C50E2" w:rsidRPr="003C50E2" w:rsidRDefault="003C50E2" w:rsidP="00AF7047">
      <w:pPr>
        <w:jc w:val="center"/>
        <w:outlineLvl w:val="0"/>
        <w:rPr>
          <w:b/>
        </w:rPr>
      </w:pPr>
      <w:r w:rsidRPr="003C50E2">
        <w:rPr>
          <w:b/>
        </w:rPr>
        <w:t xml:space="preserve">Note to Ms </w:t>
      </w:r>
      <w:proofErr w:type="spellStart"/>
      <w:r w:rsidRPr="003C50E2">
        <w:rPr>
          <w:b/>
        </w:rPr>
        <w:t>Souka</w:t>
      </w:r>
      <w:proofErr w:type="spellEnd"/>
      <w:r w:rsidRPr="003C50E2">
        <w:rPr>
          <w:b/>
        </w:rPr>
        <w:t xml:space="preserve"> et Ms </w:t>
      </w:r>
      <w:proofErr w:type="spellStart"/>
      <w:r w:rsidRPr="003C50E2">
        <w:rPr>
          <w:b/>
        </w:rPr>
        <w:t>Gaffey</w:t>
      </w:r>
      <w:proofErr w:type="spellEnd"/>
    </w:p>
    <w:p w14:paraId="4C630BE4" w14:textId="77777777" w:rsidR="00323E3D" w:rsidRDefault="00323E3D" w:rsidP="004C11E6">
      <w:pPr>
        <w:jc w:val="both"/>
      </w:pPr>
      <w:r>
        <w:t xml:space="preserve">Concerning the termination of the </w:t>
      </w:r>
      <w:r w:rsidR="004C11E6">
        <w:t xml:space="preserve">1999 </w:t>
      </w:r>
      <w:r>
        <w:t>Convention with the medical doctors and dentists</w:t>
      </w:r>
      <w:r w:rsidR="004C11E6">
        <w:t xml:space="preserve"> by 1 September 2018</w:t>
      </w:r>
      <w:r w:rsidR="00D8384C">
        <w:t>,</w:t>
      </w:r>
      <w:r>
        <w:t xml:space="preserve"> Union Syndical</w:t>
      </w:r>
      <w:r w:rsidR="00D8384C">
        <w:t>e</w:t>
      </w:r>
      <w:r>
        <w:t xml:space="preserve"> Luxembourg </w:t>
      </w:r>
      <w:r w:rsidR="004C11E6">
        <w:t xml:space="preserve">has </w:t>
      </w:r>
      <w:r>
        <w:t xml:space="preserve">sent a letter </w:t>
      </w:r>
      <w:r w:rsidR="00D8384C" w:rsidRPr="004C11E6">
        <w:t>(LINK TO USL WEBSITE TO THE WHOLE TEXT)</w:t>
      </w:r>
      <w:r w:rsidR="00D8384C">
        <w:t xml:space="preserve"> </w:t>
      </w:r>
      <w:r>
        <w:t xml:space="preserve">to Ms </w:t>
      </w:r>
      <w:proofErr w:type="spellStart"/>
      <w:r>
        <w:t>Souka</w:t>
      </w:r>
      <w:proofErr w:type="spellEnd"/>
      <w:r>
        <w:t xml:space="preserve"> </w:t>
      </w:r>
      <w:r w:rsidR="004C11E6">
        <w:t xml:space="preserve">(DG HR) </w:t>
      </w:r>
      <w:r>
        <w:t xml:space="preserve">and Ms </w:t>
      </w:r>
      <w:proofErr w:type="spellStart"/>
      <w:r>
        <w:t>Gaffey</w:t>
      </w:r>
      <w:proofErr w:type="spellEnd"/>
      <w:r>
        <w:t xml:space="preserve"> </w:t>
      </w:r>
      <w:r w:rsidR="004C11E6">
        <w:t xml:space="preserve">(PMO) </w:t>
      </w:r>
      <w:r>
        <w:t>calling them to terminate the Convention with the hospitals</w:t>
      </w:r>
      <w:r w:rsidR="00D8384C">
        <w:t xml:space="preserve"> </w:t>
      </w:r>
      <w:r w:rsidR="00D8384C" w:rsidRPr="004C11E6">
        <w:t>(LINK TO USL WEBSITE TO THE CONVENTION TEXT)</w:t>
      </w:r>
      <w:r>
        <w:t xml:space="preserve">, as well, </w:t>
      </w:r>
      <w:r w:rsidR="004C11E6">
        <w:t>because of</w:t>
      </w:r>
      <w:r>
        <w:t xml:space="preserve"> further breaches of law </w:t>
      </w:r>
      <w:r w:rsidR="004C11E6">
        <w:t xml:space="preserve">by </w:t>
      </w:r>
      <w:r>
        <w:t>keeping it in force.</w:t>
      </w:r>
    </w:p>
    <w:p w14:paraId="0ECBF6DC" w14:textId="77777777" w:rsidR="00F9181A" w:rsidRDefault="00D8384C" w:rsidP="00D8384C">
      <w:pPr>
        <w:jc w:val="both"/>
      </w:pPr>
      <w:r>
        <w:t>This</w:t>
      </w:r>
      <w:r w:rsidR="00F9181A">
        <w:t xml:space="preserve"> convention </w:t>
      </w:r>
      <w:r>
        <w:t xml:space="preserve">does </w:t>
      </w:r>
      <w:r w:rsidR="00F9181A">
        <w:t>not only</w:t>
      </w:r>
      <w:r w:rsidR="00616BDD">
        <w:t xml:space="preserve"> </w:t>
      </w:r>
      <w:r>
        <w:t xml:space="preserve">contradict to </w:t>
      </w:r>
      <w:r w:rsidR="00616BDD">
        <w:t>the European Court of Justice’</w:t>
      </w:r>
      <w:r w:rsidR="00F9181A">
        <w:t xml:space="preserve"> jurisprudence as e.g. in the </w:t>
      </w:r>
      <w:proofErr w:type="spellStart"/>
      <w:r w:rsidR="00F9181A" w:rsidRPr="004C11E6">
        <w:rPr>
          <w:i/>
        </w:rPr>
        <w:t>Ferlini</w:t>
      </w:r>
      <w:proofErr w:type="spellEnd"/>
      <w:r w:rsidR="00F9181A" w:rsidRPr="004C11E6">
        <w:rPr>
          <w:i/>
        </w:rPr>
        <w:t xml:space="preserve"> case</w:t>
      </w:r>
      <w:r w:rsidR="00F9181A">
        <w:t xml:space="preserve"> </w:t>
      </w:r>
      <w:r w:rsidR="004C11E6">
        <w:t xml:space="preserve">(2000) </w:t>
      </w:r>
      <w:r w:rsidR="00F9181A">
        <w:t xml:space="preserve">but also </w:t>
      </w:r>
      <w:r>
        <w:t xml:space="preserve">to </w:t>
      </w:r>
      <w:r w:rsidR="00F9181A" w:rsidRPr="004C11E6">
        <w:rPr>
          <w:i/>
        </w:rPr>
        <w:t>Directive 2011/24/EU</w:t>
      </w:r>
      <w:r w:rsidR="00F9181A">
        <w:t xml:space="preserve"> </w:t>
      </w:r>
      <w:r w:rsidRPr="00D8384C">
        <w:t>on the application of patients’ rights in cross-border healthcare</w:t>
      </w:r>
      <w:r>
        <w:t>.</w:t>
      </w:r>
    </w:p>
    <w:p w14:paraId="41C9FEE8" w14:textId="77777777" w:rsidR="00F9181A" w:rsidRDefault="00D30D22" w:rsidP="00616BDD">
      <w:pPr>
        <w:jc w:val="both"/>
      </w:pPr>
      <w:r>
        <w:t>T</w:t>
      </w:r>
      <w:r w:rsidR="00C108D8">
        <w:t>he technical committee established by</w:t>
      </w:r>
      <w:r>
        <w:t xml:space="preserve"> </w:t>
      </w:r>
      <w:r w:rsidR="00616BDD">
        <w:t>A</w:t>
      </w:r>
      <w:r w:rsidR="00F9181A">
        <w:t xml:space="preserve">rticle 4 </w:t>
      </w:r>
      <w:r w:rsidR="00C108D8">
        <w:t xml:space="preserve">of the Convention </w:t>
      </w:r>
      <w:r w:rsidR="004C11E6">
        <w:t xml:space="preserve">that should have regularly meet since 1999 </w:t>
      </w:r>
      <w:r w:rsidR="00C108D8">
        <w:t>was only created on</w:t>
      </w:r>
      <w:r w:rsidR="00F9181A">
        <w:t xml:space="preserve"> 25 January 2018</w:t>
      </w:r>
      <w:r w:rsidR="004C11E6">
        <w:t>,</w:t>
      </w:r>
      <w:r w:rsidR="00F9181A">
        <w:t xml:space="preserve"> and its only reunion was characterised, interestingly, by a failure of the hospitals to cooperate</w:t>
      </w:r>
      <w:r w:rsidR="004C11E6">
        <w:t>. Indeed, they have all been free to</w:t>
      </w:r>
      <w:r w:rsidR="00C108D8">
        <w:t xml:space="preserve"> </w:t>
      </w:r>
      <w:r w:rsidR="00F9181A">
        <w:t xml:space="preserve">set their tariffs applicable to EU civil servants and EIB Staff </w:t>
      </w:r>
      <w:r w:rsidR="00F9181A" w:rsidRPr="00D30D22">
        <w:rPr>
          <w:i/>
        </w:rPr>
        <w:t>in a unilateral way</w:t>
      </w:r>
      <w:r w:rsidR="00C108D8">
        <w:rPr>
          <w:i/>
        </w:rPr>
        <w:t xml:space="preserve"> </w:t>
      </w:r>
      <w:r w:rsidR="00C108D8">
        <w:t>until now.</w:t>
      </w:r>
      <w:r w:rsidR="00F9181A">
        <w:t xml:space="preserve"> </w:t>
      </w:r>
    </w:p>
    <w:p w14:paraId="7D44F1D4" w14:textId="77777777" w:rsidR="00F9181A" w:rsidRDefault="00F9181A" w:rsidP="00D30D22">
      <w:pPr>
        <w:jc w:val="both"/>
      </w:pPr>
      <w:r>
        <w:t xml:space="preserve">There is more. Annex </w:t>
      </w:r>
      <w:r w:rsidR="00C108D8">
        <w:t xml:space="preserve">3 </w:t>
      </w:r>
      <w:r>
        <w:t xml:space="preserve">foresees a certain mapping of medical practices with the respective </w:t>
      </w:r>
      <w:r w:rsidR="00D30D22">
        <w:t>“</w:t>
      </w:r>
      <w:proofErr w:type="spellStart"/>
      <w:r>
        <w:t>entités</w:t>
      </w:r>
      <w:proofErr w:type="spellEnd"/>
      <w:r>
        <w:t xml:space="preserve"> </w:t>
      </w:r>
      <w:proofErr w:type="spellStart"/>
      <w:r>
        <w:t>fonctionelles</w:t>
      </w:r>
      <w:proofErr w:type="spellEnd"/>
      <w:r w:rsidR="00D30D22">
        <w:t>”</w:t>
      </w:r>
      <w:r w:rsidR="00C108D8">
        <w:t xml:space="preserve"> but </w:t>
      </w:r>
      <w:r w:rsidR="00C108D8" w:rsidRPr="00D30D22">
        <w:rPr>
          <w:i/>
        </w:rPr>
        <w:t>such changes can only be done in common agreement of all signatories</w:t>
      </w:r>
      <w:r>
        <w:t xml:space="preserve">. </w:t>
      </w:r>
      <w:r w:rsidR="00D30D22">
        <w:t>If we are not mistaken</w:t>
      </w:r>
      <w:r>
        <w:t xml:space="preserve">, these subdivisions have </w:t>
      </w:r>
      <w:r w:rsidR="007C7632">
        <w:t xml:space="preserve">indeed </w:t>
      </w:r>
      <w:r>
        <w:t xml:space="preserve">been changed over time, </w:t>
      </w:r>
      <w:r w:rsidR="00C108D8">
        <w:t xml:space="preserve">and </w:t>
      </w:r>
      <w:r>
        <w:t>hospitals have</w:t>
      </w:r>
      <w:r w:rsidR="00C108D8">
        <w:t xml:space="preserve"> again</w:t>
      </w:r>
      <w:r>
        <w:t xml:space="preserve"> unilaterally set discriminating tariffs for EU Civil Services and EIB Staff in Luxembourg. Consequently the tacit renewal over the last decades of this Convention has undisputedly resulted in undue costs to the</w:t>
      </w:r>
      <w:r w:rsidR="000D3C24">
        <w:t xml:space="preserve"> staff, </w:t>
      </w:r>
      <w:r>
        <w:t xml:space="preserve">RCAM and the </w:t>
      </w:r>
      <w:proofErr w:type="spellStart"/>
      <w:r>
        <w:t>cais</w:t>
      </w:r>
      <w:r w:rsidR="000D3C24">
        <w:t>s</w:t>
      </w:r>
      <w:r>
        <w:t>e</w:t>
      </w:r>
      <w:proofErr w:type="spellEnd"/>
      <w:r>
        <w:t xml:space="preserve"> de </w:t>
      </w:r>
      <w:proofErr w:type="spellStart"/>
      <w:r>
        <w:t>maladie</w:t>
      </w:r>
      <w:proofErr w:type="spellEnd"/>
      <w:r>
        <w:t xml:space="preserve"> of the EIB, and this with perfect knowledge of </w:t>
      </w:r>
      <w:r w:rsidR="007C7632">
        <w:t>PMO</w:t>
      </w:r>
      <w:r>
        <w:t>.</w:t>
      </w:r>
    </w:p>
    <w:p w14:paraId="58FE5344" w14:textId="77777777" w:rsidR="00C108D8" w:rsidRDefault="00F9181A" w:rsidP="00C108D8">
      <w:pPr>
        <w:jc w:val="both"/>
      </w:pPr>
      <w:r>
        <w:t>Article 1</w:t>
      </w:r>
      <w:r w:rsidR="00D30D22">
        <w:t>(5)</w:t>
      </w:r>
      <w:r>
        <w:t xml:space="preserve"> of the </w:t>
      </w:r>
      <w:r w:rsidR="00C108D8">
        <w:t>C</w:t>
      </w:r>
      <w:r>
        <w:t xml:space="preserve">onvention foresees 15% </w:t>
      </w:r>
      <w:r w:rsidR="00C108D8">
        <w:t>overcharging</w:t>
      </w:r>
      <w:r>
        <w:t xml:space="preserve"> which should reflect the so-called “</w:t>
      </w:r>
      <w:proofErr w:type="spellStart"/>
      <w:r>
        <w:t>coût</w:t>
      </w:r>
      <w:proofErr w:type="spellEnd"/>
      <w:r>
        <w:t xml:space="preserve"> de </w:t>
      </w:r>
      <w:proofErr w:type="spellStart"/>
      <w:r>
        <w:t>revient</w:t>
      </w:r>
      <w:proofErr w:type="spellEnd"/>
      <w:r>
        <w:t xml:space="preserve"> net”.</w:t>
      </w:r>
      <w:r w:rsidR="00C108D8">
        <w:t xml:space="preserve"> Indeed, the </w:t>
      </w:r>
      <w:r w:rsidR="00C108D8" w:rsidRPr="00BC1F6F">
        <w:rPr>
          <w:i/>
        </w:rPr>
        <w:t xml:space="preserve">hospitals </w:t>
      </w:r>
      <w:r w:rsidR="000D3C24">
        <w:rPr>
          <w:i/>
        </w:rPr>
        <w:t>use</w:t>
      </w:r>
      <w:r w:rsidR="00C108D8" w:rsidRPr="00BC1F6F">
        <w:rPr>
          <w:i/>
        </w:rPr>
        <w:t xml:space="preserve"> already a system of prices reflecting th</w:t>
      </w:r>
      <w:r w:rsidR="007C7632">
        <w:rPr>
          <w:i/>
        </w:rPr>
        <w:t>is cost</w:t>
      </w:r>
      <w:r w:rsidR="00C108D8" w:rsidRPr="00BC1F6F">
        <w:rPr>
          <w:i/>
        </w:rPr>
        <w:t xml:space="preserve"> that the</w:t>
      </w:r>
      <w:r w:rsidR="00C108D8">
        <w:rPr>
          <w:i/>
        </w:rPr>
        <w:t>y</w:t>
      </w:r>
      <w:r w:rsidR="00C108D8" w:rsidRPr="00BC1F6F">
        <w:rPr>
          <w:i/>
        </w:rPr>
        <w:t xml:space="preserve"> </w:t>
      </w:r>
      <w:r w:rsidR="001264F0" w:rsidRPr="00BC1F6F">
        <w:rPr>
          <w:i/>
        </w:rPr>
        <w:t xml:space="preserve">apply both for cross-border patients </w:t>
      </w:r>
      <w:r w:rsidR="001264F0">
        <w:rPr>
          <w:i/>
        </w:rPr>
        <w:t>with</w:t>
      </w:r>
      <w:r w:rsidR="001264F0" w:rsidRPr="00BC1F6F">
        <w:rPr>
          <w:i/>
        </w:rPr>
        <w:t xml:space="preserve"> the European Health Insurance card while being faced with hospitalisation in Luxembourg, and to invoice the hospital costs for </w:t>
      </w:r>
      <w:r w:rsidR="001264F0">
        <w:rPr>
          <w:i/>
        </w:rPr>
        <w:t xml:space="preserve">CNS </w:t>
      </w:r>
      <w:r w:rsidR="001264F0" w:rsidRPr="00BC1F6F">
        <w:rPr>
          <w:i/>
        </w:rPr>
        <w:t>patients</w:t>
      </w:r>
      <w:r w:rsidR="00C108D8">
        <w:t xml:space="preserve">. Nothing would thus impede on equal treatment of EU civil servants and EIB </w:t>
      </w:r>
      <w:r w:rsidR="001264F0">
        <w:t>s</w:t>
      </w:r>
      <w:r w:rsidR="00C108D8">
        <w:t>taff with patients falling under those systems!</w:t>
      </w:r>
    </w:p>
    <w:p w14:paraId="2FCD3E48" w14:textId="77777777" w:rsidR="00F9181A" w:rsidRDefault="007C7632" w:rsidP="00D30D22">
      <w:pPr>
        <w:jc w:val="both"/>
      </w:pPr>
      <w:proofErr w:type="gramStart"/>
      <w:r>
        <w:t>Moreover</w:t>
      </w:r>
      <w:proofErr w:type="gramEnd"/>
      <w:r>
        <w:t xml:space="preserve"> m</w:t>
      </w:r>
      <w:r w:rsidR="004C11E6">
        <w:t>edical overcharging has an</w:t>
      </w:r>
      <w:r w:rsidR="00F9181A">
        <w:t xml:space="preserve"> impact on the budget of international institutions (notably the Commis</w:t>
      </w:r>
      <w:r w:rsidR="004C11E6">
        <w:t xml:space="preserve">sion’s and </w:t>
      </w:r>
      <w:r>
        <w:t xml:space="preserve">the </w:t>
      </w:r>
      <w:r w:rsidR="004C11E6">
        <w:t>EIB’s Health Scheme) and thus may also violate</w:t>
      </w:r>
      <w:r w:rsidR="00F9181A">
        <w:t xml:space="preserve"> </w:t>
      </w:r>
      <w:r w:rsidR="00D30D22">
        <w:t>A</w:t>
      </w:r>
      <w:r w:rsidR="00F9181A">
        <w:t xml:space="preserve">rticle 496-4 of the </w:t>
      </w:r>
      <w:r w:rsidR="00D30D22">
        <w:t>C</w:t>
      </w:r>
      <w:r w:rsidR="00F9181A">
        <w:t xml:space="preserve">ode penal of Luxembourg “sur le </w:t>
      </w:r>
      <w:proofErr w:type="spellStart"/>
      <w:r w:rsidR="00F9181A" w:rsidRPr="00D30D22">
        <w:rPr>
          <w:i/>
        </w:rPr>
        <w:t>détournement</w:t>
      </w:r>
      <w:proofErr w:type="spellEnd"/>
      <w:r w:rsidR="00F9181A" w:rsidRPr="00D30D22">
        <w:rPr>
          <w:i/>
        </w:rPr>
        <w:t xml:space="preserve"> d’un </w:t>
      </w:r>
      <w:proofErr w:type="spellStart"/>
      <w:r w:rsidR="00F9181A" w:rsidRPr="00D30D22">
        <w:rPr>
          <w:i/>
        </w:rPr>
        <w:t>avantage</w:t>
      </w:r>
      <w:proofErr w:type="spellEnd"/>
      <w:r w:rsidR="00F9181A" w:rsidRPr="00D30D22">
        <w:rPr>
          <w:i/>
        </w:rPr>
        <w:t xml:space="preserve"> </w:t>
      </w:r>
      <w:proofErr w:type="spellStart"/>
      <w:r w:rsidR="00F9181A" w:rsidRPr="00D30D22">
        <w:rPr>
          <w:i/>
        </w:rPr>
        <w:t>légalement</w:t>
      </w:r>
      <w:proofErr w:type="spellEnd"/>
      <w:r w:rsidR="00F9181A" w:rsidRPr="00D30D22">
        <w:rPr>
          <w:i/>
        </w:rPr>
        <w:t xml:space="preserve"> </w:t>
      </w:r>
      <w:proofErr w:type="spellStart"/>
      <w:r w:rsidR="00F9181A" w:rsidRPr="00D30D22">
        <w:rPr>
          <w:i/>
        </w:rPr>
        <w:t>obtenu</w:t>
      </w:r>
      <w:proofErr w:type="spellEnd"/>
      <w:r w:rsidR="00F9181A" w:rsidRPr="00D30D22">
        <w:rPr>
          <w:i/>
        </w:rPr>
        <w:t xml:space="preserve"> </w:t>
      </w:r>
      <w:proofErr w:type="spellStart"/>
      <w:r w:rsidR="00F9181A" w:rsidRPr="00D30D22">
        <w:rPr>
          <w:i/>
        </w:rPr>
        <w:t>en</w:t>
      </w:r>
      <w:proofErr w:type="spellEnd"/>
      <w:r w:rsidR="00F9181A" w:rsidRPr="00D30D22">
        <w:rPr>
          <w:i/>
        </w:rPr>
        <w:t xml:space="preserve"> </w:t>
      </w:r>
      <w:proofErr w:type="spellStart"/>
      <w:r w:rsidR="00F9181A" w:rsidRPr="00D30D22">
        <w:rPr>
          <w:i/>
        </w:rPr>
        <w:t>réalisant</w:t>
      </w:r>
      <w:proofErr w:type="spellEnd"/>
      <w:r w:rsidR="00F9181A" w:rsidRPr="00D30D22">
        <w:rPr>
          <w:i/>
        </w:rPr>
        <w:t xml:space="preserve"> </w:t>
      </w:r>
      <w:proofErr w:type="spellStart"/>
      <w:r w:rsidR="00F9181A" w:rsidRPr="00D30D22">
        <w:rPr>
          <w:i/>
        </w:rPr>
        <w:t>une</w:t>
      </w:r>
      <w:proofErr w:type="spellEnd"/>
      <w:r w:rsidR="00F9181A" w:rsidRPr="00D30D22">
        <w:rPr>
          <w:i/>
        </w:rPr>
        <w:t xml:space="preserve"> diminution des </w:t>
      </w:r>
      <w:proofErr w:type="spellStart"/>
      <w:r w:rsidR="00F9181A" w:rsidRPr="00D30D22">
        <w:rPr>
          <w:i/>
        </w:rPr>
        <w:t>ressources</w:t>
      </w:r>
      <w:proofErr w:type="spellEnd"/>
      <w:r w:rsidR="00F9181A" w:rsidRPr="00D30D22">
        <w:rPr>
          <w:i/>
        </w:rPr>
        <w:t xml:space="preserve"> du budget </w:t>
      </w:r>
      <w:proofErr w:type="spellStart"/>
      <w:r w:rsidR="00F9181A" w:rsidRPr="00D30D22">
        <w:rPr>
          <w:i/>
        </w:rPr>
        <w:t>d’une</w:t>
      </w:r>
      <w:proofErr w:type="spellEnd"/>
      <w:r w:rsidR="00F9181A" w:rsidRPr="00D30D22">
        <w:rPr>
          <w:i/>
        </w:rPr>
        <w:t xml:space="preserve"> institution </w:t>
      </w:r>
      <w:proofErr w:type="spellStart"/>
      <w:r w:rsidR="00F9181A" w:rsidRPr="00D30D22">
        <w:rPr>
          <w:i/>
        </w:rPr>
        <w:t>internationale</w:t>
      </w:r>
      <w:proofErr w:type="spellEnd"/>
      <w:r w:rsidR="00F9181A">
        <w:t>”</w:t>
      </w:r>
      <w:r w:rsidR="00D30D22">
        <w:t>.</w:t>
      </w:r>
    </w:p>
    <w:p w14:paraId="6FDB1D2E" w14:textId="77777777" w:rsidR="001264F0" w:rsidRDefault="001264F0" w:rsidP="001264F0">
      <w:pPr>
        <w:jc w:val="both"/>
      </w:pPr>
      <w:r>
        <w:t xml:space="preserve">On the political field, the EP conclusions to the 2016 discharge of the annual EU budget </w:t>
      </w:r>
      <w:r w:rsidRPr="001264F0">
        <w:rPr>
          <w:i/>
        </w:rPr>
        <w:t>questioned the legality of overcharging in Luxembourg and called for taking stock of the total cost of the overcharged amounts and actions against Luxembourg</w:t>
      </w:r>
      <w:r>
        <w:t>. The Commission, notably Commissioner Oettinger, has meanwhile also initiated discussions with the Netherlands on the same subject.</w:t>
      </w:r>
    </w:p>
    <w:p w14:paraId="43FB636C" w14:textId="77777777" w:rsidR="007C7632" w:rsidRDefault="007C7632" w:rsidP="001264F0">
      <w:pPr>
        <w:jc w:val="both"/>
        <w:rPr>
          <w:i/>
        </w:rPr>
      </w:pPr>
      <w:r>
        <w:t xml:space="preserve">Union Syndicale Luxembourg will go fighting for the termination of the above Convention by </w:t>
      </w:r>
      <w:r>
        <w:rPr>
          <w:i/>
        </w:rPr>
        <w:t>30 October 2018.</w:t>
      </w:r>
    </w:p>
    <w:p w14:paraId="1E220DDD" w14:textId="77777777" w:rsidR="003C50E2" w:rsidRDefault="003C50E2" w:rsidP="003C50E2">
      <w:pPr>
        <w:jc w:val="center"/>
      </w:pPr>
      <w:r w:rsidRPr="003E7CEC">
        <w:rPr>
          <w:rFonts w:eastAsia="Times New Roman"/>
          <w:color w:val="FF0000"/>
          <w:lang w:val="fr-FR" w:eastAsia="fr-FR"/>
        </w:rPr>
        <w:t>227, VAL DES BONS-MALADES - L2121 LUXEMBOURG / TELEPHONE : 43 25 79 / TELEFAX : 43 29 64</w:t>
      </w:r>
      <w:r w:rsidRPr="003E7CEC">
        <w:rPr>
          <w:rFonts w:eastAsia="Times New Roman"/>
          <w:color w:val="FF0000"/>
          <w:lang w:val="fr-FR" w:eastAsia="fr-FR"/>
        </w:rPr>
        <w:br/>
      </w:r>
      <w:r w:rsidRPr="003E7CEC">
        <w:rPr>
          <w:rFonts w:eastAsia="Times New Roman"/>
          <w:color w:val="FF0000"/>
          <w:u w:val="single"/>
          <w:lang w:val="fr-FR" w:eastAsia="fr-FR"/>
        </w:rPr>
        <w:t>unionsl@pt.lu</w:t>
      </w:r>
      <w:r w:rsidRPr="003E7CEC">
        <w:rPr>
          <w:rFonts w:eastAsia="Times New Roman"/>
          <w:color w:val="FF0000"/>
          <w:lang w:val="fr-FR" w:eastAsia="fr-FR"/>
        </w:rPr>
        <w:t xml:space="preserve"> - </w:t>
      </w:r>
      <w:hyperlink r:id="rId5" w:tooltip="blocked::http://www.uslux.eu/" w:history="1">
        <w:r w:rsidRPr="003E7CEC">
          <w:rPr>
            <w:rFonts w:eastAsia="Times New Roman"/>
            <w:color w:val="0000FF"/>
            <w:u w:val="single"/>
            <w:lang w:val="fr-FR" w:eastAsia="fr-FR"/>
          </w:rPr>
          <w:t>www.uslux.eu</w:t>
        </w:r>
      </w:hyperlink>
    </w:p>
    <w:p w14:paraId="1B7A92C8" w14:textId="77777777" w:rsidR="003C50E2" w:rsidRPr="007C7632" w:rsidRDefault="003C50E2" w:rsidP="001264F0">
      <w:pPr>
        <w:jc w:val="both"/>
        <w:rPr>
          <w:i/>
        </w:rPr>
      </w:pPr>
    </w:p>
    <w:sectPr w:rsidR="003C50E2" w:rsidRPr="007C7632" w:rsidSect="00846E8F">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1A"/>
    <w:rsid w:val="000704CA"/>
    <w:rsid w:val="000D3C24"/>
    <w:rsid w:val="001264F0"/>
    <w:rsid w:val="001505CD"/>
    <w:rsid w:val="00323E3D"/>
    <w:rsid w:val="003C31D5"/>
    <w:rsid w:val="003C50E2"/>
    <w:rsid w:val="004C11E6"/>
    <w:rsid w:val="00616BDD"/>
    <w:rsid w:val="007C7632"/>
    <w:rsid w:val="00846E8F"/>
    <w:rsid w:val="00AD673E"/>
    <w:rsid w:val="00AF7047"/>
    <w:rsid w:val="00BB04C0"/>
    <w:rsid w:val="00BC1F6F"/>
    <w:rsid w:val="00C108D8"/>
    <w:rsid w:val="00D30D22"/>
    <w:rsid w:val="00D825B4"/>
    <w:rsid w:val="00D8384C"/>
    <w:rsid w:val="00F70C42"/>
    <w:rsid w:val="00F9181A"/>
    <w:rsid w:val="00FA0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96AB"/>
  <w15:docId w15:val="{CD565D51-F444-4DDE-86B9-35C1D472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16B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uslux.e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2714</Characters>
  <Application>Microsoft Macintosh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EPSO-AC</dc:creator>
  <cp:lastModifiedBy>Amandine Douzenel</cp:lastModifiedBy>
  <cp:revision>2</cp:revision>
  <dcterms:created xsi:type="dcterms:W3CDTF">2019-06-03T13:17:00Z</dcterms:created>
  <dcterms:modified xsi:type="dcterms:W3CDTF">2019-06-03T13:17:00Z</dcterms:modified>
</cp:coreProperties>
</file>